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74" w:rsidRDefault="00D01FA3" w:rsidP="00D31974">
      <w:pPr>
        <w:spacing w:line="257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Кәсіподақтың Түркістан облыстық ұйымының </w:t>
      </w:r>
    </w:p>
    <w:p w:rsidR="00D31974" w:rsidRDefault="00D01FA3" w:rsidP="00D31974">
      <w:pPr>
        <w:spacing w:line="257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әлеуметт</w:t>
      </w:r>
      <w:r w:rsidR="005873BE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ік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әріптестікті дамыту және әлеуметтік-еңбек құқықтарын қорғау жөніндегі жұмыс</w:t>
      </w:r>
      <w:r w:rsidR="005873BE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туралы</w:t>
      </w:r>
    </w:p>
    <w:p w:rsidR="00D01FA3" w:rsidRDefault="00D01FA3" w:rsidP="00D31974">
      <w:pPr>
        <w:spacing w:line="257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АҚПАРАТ </w:t>
      </w:r>
    </w:p>
    <w:p w:rsidR="00D31974" w:rsidRDefault="00D31974" w:rsidP="00175FB1">
      <w:pPr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555D8" w:rsidRPr="00D31974" w:rsidRDefault="00D31974" w:rsidP="00175F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Заманауи талаптарды ескере отырып, әлеуметтік әріптестікті дамытудағы және қызметкерлердің әлеуметтік-еңбек құқықтарын қорғаудағы кәсіподақ ұйымдарының рөлі мен қызметін арттыру Түркістан облыстық ұйымы мен оның филиалдарының, бастауыш ұйымдарының қызметіндегі маңызды құрамдас бөлігі болып табылады. </w:t>
      </w:r>
    </w:p>
    <w:p w:rsidR="000555D8" w:rsidRPr="00A21CD3" w:rsidRDefault="00D31974" w:rsidP="00175F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lang w:val="kk-KZ"/>
        </w:rPr>
        <w:t>Белгілі чех экономисі О.Шик «</w:t>
      </w:r>
      <w:r w:rsidR="00351860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lang w:val="kk-KZ"/>
        </w:rPr>
        <w:t xml:space="preserve">Әлеуметтік әріптестік </w:t>
      </w:r>
      <w:r w:rsidR="00A75D4B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lang w:val="kk-KZ"/>
        </w:rPr>
        <w:t>келісімге немесе, керісінше, тайталасқа әкелмеуі тиіс.</w:t>
      </w:r>
      <w:r w:rsidR="009F12A4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lang w:val="kk-KZ"/>
        </w:rPr>
        <w:t xml:space="preserve"> Ол нақты жағдайда тараптардың мүдделерін қанағаттандыра алатын бағдар мен уағдаластыққа келісіп, ұйымда, аумақта,салада және жалпы елде </w:t>
      </w:r>
      <w:r w:rsidR="000F5575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lang w:val="kk-KZ"/>
        </w:rPr>
        <w:t>әлеуметтік әлем орната алатын бітімшілікке қол жеткізу тиіс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lang w:val="kk-KZ"/>
        </w:rPr>
        <w:t xml:space="preserve">» деген екен. </w:t>
      </w:r>
    </w:p>
    <w:p w:rsidR="000F5575" w:rsidRPr="00A21CD3" w:rsidRDefault="000F5575" w:rsidP="00175F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Әлеуметтік әріптестікті дамыту қызметкерлердің еңбек құқықтарын тиімді қорғаудың кепілі екені сөзсіз.  </w:t>
      </w:r>
    </w:p>
    <w:p w:rsidR="000555D8" w:rsidRPr="00175FB1" w:rsidRDefault="004F2D68" w:rsidP="00175F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саласы қызметкерлерінің еңбек, әлеуметтік-экономикалық құқықтарын нақты қорғау механизмін айқындайтын негізге алынатын құжаттар</w:t>
      </w:r>
      <w:r w:rsidR="00B64F88" w:rsidRPr="00DA107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:</w:t>
      </w:r>
      <w:r w:rsidR="00A21CD3" w:rsidRPr="00175FB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5F125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білім және ғылым саласы қызметкерлері үшін еңбек жағдайын, жұмыспен қамту және әлеуметтік кепілдіктерді салалық деңгейде белгілеу жөніндегі 2021-2023 жылдарға арналған әлеуметтік әріптестік туралы Салалық келісім,  </w:t>
      </w:r>
      <w:r w:rsidR="00DA107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«</w:t>
      </w:r>
      <w:r w:rsidR="003110E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Түркістан облысы адами </w:t>
      </w:r>
      <w:r w:rsidR="007B630E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әлеуетті</w:t>
      </w:r>
      <w:r w:rsidR="003110E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дамыту басқармасы</w:t>
      </w:r>
      <w:r w:rsidR="00DA107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» ММ және «</w:t>
      </w:r>
      <w:r w:rsidR="007B630E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Қазақстандық салалық білім және ғылым қызметкерлері кәсіподағының Түркістан облыстық ұйымы</w:t>
      </w:r>
      <w:r w:rsidR="00DA107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» ҚБ арасындағы 2021-2023 жылдарға арналған әлеуметтік әріп</w:t>
      </w:r>
      <w:r w:rsidR="003B737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</w:t>
      </w:r>
      <w:r w:rsidR="00DA107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естік туралы Келісім, сондай-ақ білім беру ұйымдарының ұжымдық шарттары. </w:t>
      </w:r>
    </w:p>
    <w:p w:rsidR="00232192" w:rsidRDefault="00232192" w:rsidP="00175F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«Қазақстандық салалық білім және ғылым қызметкерлері кәсіподағының Түркістан облыстық ұйымы» ҚБ құрылтай конференциясының шешімімен 2020 жылғы 10</w:t>
      </w:r>
      <w:r w:rsidR="00A21CD3" w:rsidRPr="00175FB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қарашада құрылды. </w:t>
      </w:r>
    </w:p>
    <w:p w:rsidR="000555D8" w:rsidRPr="003B7374" w:rsidRDefault="00232192" w:rsidP="00175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1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ҚР Еңбек кодексімен белгіленген келіссөздер жүргізу, келісімдер әзірлеу және жасау тәртібін қадағалай отырып, 2021 жылғы 20</w:t>
      </w:r>
      <w:r w:rsidR="00A21CD3" w:rsidRPr="00A21CD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қаңтарда </w:t>
      </w:r>
      <w:r w:rsidR="003B737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«Түркістан облысы адами әлеуетті дамыту басқармасы» ММ және «Қазақстандық салалық білім және ғылым қызметкерлері кәсіподағының Түркістан облыстық ұйымы» ҚБ арасындағы 2021-2023 жылдарға арналған әлеуметтік әріптестік туралы аймақтық Келісім</w:t>
      </w:r>
      <w:r w:rsidR="00A21CD3" w:rsidRPr="00A21CD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3B737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 xml:space="preserve">жасалды. </w:t>
      </w:r>
    </w:p>
    <w:p w:rsidR="000555D8" w:rsidRPr="000555D8" w:rsidRDefault="003B7374" w:rsidP="00175F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pacing w:val="-11"/>
          <w:sz w:val="28"/>
          <w:szCs w:val="28"/>
          <w:lang w:val="kk-KZ" w:eastAsia="ru-RU"/>
        </w:rPr>
        <w:t xml:space="preserve">ҚР Еңбек кодексінің 151-бабы </w:t>
      </w:r>
      <w:r w:rsidR="00486D7B">
        <w:rPr>
          <w:rFonts w:ascii="Times New Roman" w:eastAsia="Times New Roman" w:hAnsi="Times New Roman" w:cs="Times New Roman"/>
          <w:bCs/>
          <w:spacing w:val="-11"/>
          <w:sz w:val="28"/>
          <w:szCs w:val="28"/>
          <w:lang w:val="kk-KZ" w:eastAsia="ru-RU"/>
        </w:rPr>
        <w:t>2-т.</w:t>
      </w:r>
      <w:r w:rsidR="00A21CD3" w:rsidRPr="00A21CD3">
        <w:rPr>
          <w:rFonts w:ascii="Times New Roman" w:eastAsia="Times New Roman" w:hAnsi="Times New Roman" w:cs="Times New Roman"/>
          <w:bCs/>
          <w:spacing w:val="-11"/>
          <w:sz w:val="28"/>
          <w:szCs w:val="28"/>
          <w:lang w:val="kk-KZ" w:eastAsia="ru-RU"/>
        </w:rPr>
        <w:t xml:space="preserve"> </w:t>
      </w:r>
      <w:r w:rsidR="00486D7B">
        <w:rPr>
          <w:rFonts w:ascii="Times New Roman" w:eastAsia="Times New Roman" w:hAnsi="Times New Roman" w:cs="Times New Roman"/>
          <w:bCs/>
          <w:spacing w:val="-11"/>
          <w:sz w:val="28"/>
          <w:szCs w:val="28"/>
          <w:lang w:val="kk-KZ" w:eastAsia="ru-RU"/>
        </w:rPr>
        <w:t xml:space="preserve">сәйкес Келісім ҚР </w:t>
      </w:r>
      <w:r w:rsidR="00A21CD3">
        <w:rPr>
          <w:rFonts w:ascii="Times New Roman" w:eastAsia="Times New Roman" w:hAnsi="Times New Roman" w:cs="Times New Roman"/>
          <w:bCs/>
          <w:spacing w:val="-11"/>
          <w:sz w:val="28"/>
          <w:szCs w:val="28"/>
          <w:lang w:val="kk-KZ" w:eastAsia="ru-RU"/>
        </w:rPr>
        <w:t>Е</w:t>
      </w:r>
      <w:r w:rsidR="00486D7B">
        <w:rPr>
          <w:rFonts w:ascii="Times New Roman" w:eastAsia="Times New Roman" w:hAnsi="Times New Roman" w:cs="Times New Roman"/>
          <w:bCs/>
          <w:spacing w:val="-11"/>
          <w:sz w:val="28"/>
          <w:szCs w:val="28"/>
          <w:lang w:val="kk-KZ" w:eastAsia="ru-RU"/>
        </w:rPr>
        <w:t xml:space="preserve">ңбек және халықты әлеуметтік қорғау </w:t>
      </w:r>
      <w:r w:rsidR="00A21CD3">
        <w:rPr>
          <w:rFonts w:ascii="Times New Roman" w:eastAsia="Times New Roman" w:hAnsi="Times New Roman" w:cs="Times New Roman"/>
          <w:bCs/>
          <w:spacing w:val="-11"/>
          <w:sz w:val="28"/>
          <w:szCs w:val="28"/>
          <w:lang w:val="kk-KZ" w:eastAsia="ru-RU"/>
        </w:rPr>
        <w:t>м</w:t>
      </w:r>
      <w:r w:rsidR="00486D7B">
        <w:rPr>
          <w:rFonts w:ascii="Times New Roman" w:eastAsia="Times New Roman" w:hAnsi="Times New Roman" w:cs="Times New Roman"/>
          <w:bCs/>
          <w:spacing w:val="-11"/>
          <w:sz w:val="28"/>
          <w:szCs w:val="28"/>
          <w:lang w:val="kk-KZ" w:eastAsia="ru-RU"/>
        </w:rPr>
        <w:t>инистрлігінде 2021 жылғы 27</w:t>
      </w:r>
      <w:r w:rsidR="00A21CD3">
        <w:rPr>
          <w:rFonts w:ascii="Times New Roman" w:eastAsia="Times New Roman" w:hAnsi="Times New Roman" w:cs="Times New Roman"/>
          <w:bCs/>
          <w:spacing w:val="-11"/>
          <w:sz w:val="28"/>
          <w:szCs w:val="28"/>
          <w:lang w:val="kk-KZ" w:eastAsia="ru-RU"/>
        </w:rPr>
        <w:t xml:space="preserve"> </w:t>
      </w:r>
      <w:r w:rsidR="00486D7B">
        <w:rPr>
          <w:rFonts w:ascii="Times New Roman" w:eastAsia="Times New Roman" w:hAnsi="Times New Roman" w:cs="Times New Roman"/>
          <w:bCs/>
          <w:spacing w:val="-11"/>
          <w:sz w:val="28"/>
          <w:szCs w:val="28"/>
          <w:lang w:val="kk-KZ" w:eastAsia="ru-RU"/>
        </w:rPr>
        <w:t xml:space="preserve">қаңтарда </w:t>
      </w:r>
      <w:r w:rsidR="00486D7B" w:rsidRPr="00486D7B">
        <w:rPr>
          <w:rFonts w:ascii="Times New Roman" w:eastAsia="Times New Roman" w:hAnsi="Times New Roman" w:cs="Times New Roman"/>
          <w:bCs/>
          <w:spacing w:val="-11"/>
          <w:sz w:val="28"/>
          <w:szCs w:val="28"/>
          <w:lang w:val="kk-KZ" w:eastAsia="ru-RU"/>
        </w:rPr>
        <w:t>№</w:t>
      </w:r>
      <w:r w:rsidR="00486D7B">
        <w:rPr>
          <w:rFonts w:ascii="Times New Roman" w:eastAsia="Times New Roman" w:hAnsi="Times New Roman" w:cs="Times New Roman"/>
          <w:bCs/>
          <w:spacing w:val="-11"/>
          <w:sz w:val="28"/>
          <w:szCs w:val="28"/>
          <w:lang w:val="kk-KZ" w:eastAsia="ru-RU"/>
        </w:rPr>
        <w:t>187 тіркелді</w:t>
      </w:r>
      <w:r w:rsidR="000555D8" w:rsidRPr="000555D8">
        <w:rPr>
          <w:rFonts w:ascii="Times New Roman" w:eastAsia="Times New Roman" w:hAnsi="Times New Roman" w:cs="Times New Roman"/>
          <w:bCs/>
          <w:spacing w:val="-11"/>
          <w:sz w:val="28"/>
          <w:szCs w:val="28"/>
          <w:lang w:val="kk-KZ" w:eastAsia="ru-RU"/>
        </w:rPr>
        <w:t xml:space="preserve"> (</w:t>
      </w:r>
      <w:r w:rsidR="005E2850">
        <w:rPr>
          <w:rFonts w:ascii="Times New Roman" w:eastAsia="Times New Roman" w:hAnsi="Times New Roman" w:cs="Times New Roman"/>
          <w:bCs/>
          <w:i/>
          <w:spacing w:val="-11"/>
          <w:sz w:val="28"/>
          <w:szCs w:val="28"/>
          <w:lang w:val="kk-KZ" w:eastAsia="ru-RU"/>
        </w:rPr>
        <w:t>К</w:t>
      </w:r>
      <w:r w:rsidR="00486D7B">
        <w:rPr>
          <w:rFonts w:ascii="Times New Roman" w:eastAsia="Times New Roman" w:hAnsi="Times New Roman" w:cs="Times New Roman"/>
          <w:bCs/>
          <w:i/>
          <w:spacing w:val="-11"/>
          <w:sz w:val="28"/>
          <w:szCs w:val="28"/>
          <w:lang w:val="kk-KZ" w:eastAsia="ru-RU"/>
        </w:rPr>
        <w:t>елісім көшірмесі Салалық кәсіподаққа берілді)</w:t>
      </w:r>
      <w:r w:rsidR="000555D8" w:rsidRPr="000555D8">
        <w:rPr>
          <w:rFonts w:ascii="Times New Roman" w:eastAsia="Times New Roman" w:hAnsi="Times New Roman" w:cs="Times New Roman"/>
          <w:bCs/>
          <w:spacing w:val="-11"/>
          <w:sz w:val="28"/>
          <w:szCs w:val="28"/>
          <w:lang w:val="kk-KZ" w:eastAsia="ru-RU"/>
        </w:rPr>
        <w:t xml:space="preserve">. </w:t>
      </w:r>
    </w:p>
    <w:p w:rsidR="00486D7B" w:rsidRDefault="00486D7B" w:rsidP="00175FB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pacing w:val="-11"/>
          <w:sz w:val="28"/>
          <w:szCs w:val="28"/>
          <w:lang w:val="kk-KZ" w:eastAsia="ru-RU"/>
        </w:rPr>
        <w:t xml:space="preserve">Келісіммен қызметкерлердің еңбек жағдайларын жақсартуға, әлеуметтік-экономикалық құқықтарын қорғаудың қосымша параметрлерін қалыптастыруға бағытталған </w:t>
      </w:r>
      <w:r w:rsidR="005D5F5C">
        <w:rPr>
          <w:rFonts w:ascii="Times New Roman" w:eastAsia="Times New Roman" w:hAnsi="Times New Roman" w:cs="Times New Roman"/>
          <w:bCs/>
          <w:spacing w:val="-11"/>
          <w:sz w:val="28"/>
          <w:szCs w:val="28"/>
          <w:lang w:val="kk-KZ" w:eastAsia="ru-RU"/>
        </w:rPr>
        <w:t xml:space="preserve">тараптардың міндеттемелері айқындалды. </w:t>
      </w:r>
    </w:p>
    <w:p w:rsidR="005D5F5C" w:rsidRDefault="005D5F5C" w:rsidP="00175FB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pacing w:val="-11"/>
          <w:sz w:val="28"/>
          <w:szCs w:val="28"/>
          <w:lang w:val="kk-KZ" w:eastAsia="ru-RU"/>
        </w:rPr>
        <w:t xml:space="preserve">Әлеуметтік әріптестік туралы келісім жемісті және пайдалы ынтымақтастыққа бағытталған, онда төмендегі ережелер көзделген: жұмыс уақыты мен тынығу </w:t>
      </w:r>
      <w:r>
        <w:rPr>
          <w:rFonts w:ascii="Times New Roman" w:eastAsia="Times New Roman" w:hAnsi="Times New Roman" w:cs="Times New Roman"/>
          <w:bCs/>
          <w:spacing w:val="-11"/>
          <w:sz w:val="28"/>
          <w:szCs w:val="28"/>
          <w:lang w:val="kk-KZ" w:eastAsia="ru-RU"/>
        </w:rPr>
        <w:lastRenderedPageBreak/>
        <w:t>уақытының, еңбек демалысының ұзақтығы;</w:t>
      </w:r>
      <w:r w:rsidR="00612748">
        <w:rPr>
          <w:rFonts w:ascii="Times New Roman" w:eastAsia="Times New Roman" w:hAnsi="Times New Roman" w:cs="Times New Roman"/>
          <w:bCs/>
          <w:spacing w:val="-11"/>
          <w:sz w:val="28"/>
          <w:szCs w:val="28"/>
          <w:lang w:val="kk-KZ" w:eastAsia="ru-RU"/>
        </w:rPr>
        <w:t xml:space="preserve"> таза және қауіпсіз еңбек, тұрмыс жағдайын жасау; ауыр жұмыстағы, зиянды және қауіпті жұмыс жағдайындағы қызметкерлерге еңбекақы, үстеме ақы және қосымша ақы төлеу; кәсіподақ қызметі үшін жағдай жасау; қызметкерлер мен жұмыс берушілердің Келісімді орындауға жауапкершілігі және бақылау. </w:t>
      </w:r>
    </w:p>
    <w:p w:rsidR="000555D8" w:rsidRPr="006F2CD6" w:rsidRDefault="006F2CD6" w:rsidP="00175FB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1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«Қазақстандық салалық білім және ғылым қызметкерлері кәсіподағының Түркістан облыстық ұйымы» ҚБ 2021 жылғы 1</w:t>
      </w:r>
      <w:r w:rsidR="00A21CD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желтоқсандағы жағдай бойынша біріктіреді: </w:t>
      </w:r>
    </w:p>
    <w:p w:rsidR="005E2850" w:rsidRDefault="00CE0440" w:rsidP="00175F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-</w:t>
      </w:r>
      <w:r w:rsidR="006F2C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филиал мәртебесіндегі қалалық ұйым</w:t>
      </w:r>
      <w:r w:rsidR="000555D8" w:rsidRPr="000555D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r w:rsidR="00231DD9" w:rsidRPr="009C2AA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="005E285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5E2850" w:rsidRDefault="005E2850" w:rsidP="00175F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- </w:t>
      </w:r>
      <w:r w:rsidR="006F2C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аудандық ұйым</w:t>
      </w:r>
      <w:r w:rsidR="005F7FF7" w:rsidRPr="00231D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- </w:t>
      </w:r>
      <w:r w:rsidR="00231DD9" w:rsidRPr="009C2AA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5E2850" w:rsidRDefault="005E2850" w:rsidP="00175F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-</w:t>
      </w:r>
      <w:r w:rsidR="006F2C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жергілікті кәсіподақ ұйымы</w:t>
      </w:r>
      <w:r w:rsidR="000555D8" w:rsidRPr="000555D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–</w:t>
      </w:r>
      <w:r w:rsidR="00A21C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F7FF7" w:rsidRPr="009C2AA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3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;</w:t>
      </w:r>
    </w:p>
    <w:p w:rsidR="001D0A12" w:rsidRDefault="005E2850" w:rsidP="00175F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-</w:t>
      </w:r>
      <w:r w:rsidR="006F2C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облыстық комитет құрылымына кіретін бастауыш кәсіподақ ұйымы</w:t>
      </w:r>
      <w:r w:rsidR="000555D8" w:rsidRPr="000555D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– </w:t>
      </w:r>
      <w:r w:rsidR="005F7FF7" w:rsidRPr="009C2AA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128</w:t>
      </w:r>
      <w:r w:rsidR="001D0A1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1D0A12" w:rsidRDefault="006F2CD6" w:rsidP="00175F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Еңбек ұжымдарында құрылған кәсіподақ ұйымдары</w:t>
      </w:r>
      <w:r w:rsidR="001D0A1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:</w:t>
      </w:r>
    </w:p>
    <w:p w:rsidR="001D0A12" w:rsidRDefault="001D0A12" w:rsidP="00175F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- </w:t>
      </w:r>
      <w:r w:rsidR="006F2C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орта білім беру ұйымдары</w:t>
      </w:r>
      <w:r w:rsidR="00CE0440" w:rsidRPr="00CE044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r w:rsidR="00CE0440" w:rsidRPr="004A282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65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1D0A12" w:rsidRDefault="001D0A12" w:rsidP="00175F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-</w:t>
      </w:r>
      <w:r w:rsidR="006F2C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мектепке дейінгі мекемелер</w:t>
      </w:r>
      <w:r w:rsidR="00CE0440" w:rsidRPr="006F2C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- </w:t>
      </w:r>
      <w:r w:rsidR="00CE0440" w:rsidRPr="006F2CD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50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1D0A12" w:rsidRDefault="001D0A12" w:rsidP="00175F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-</w:t>
      </w:r>
      <w:r w:rsidR="005561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</w:t>
      </w:r>
      <w:r w:rsidR="006F2C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жК</w:t>
      </w:r>
      <w:r w:rsidR="00A21C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6F2C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сондай-ақ өзге ұйымдар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а</w:t>
      </w:r>
      <w:r w:rsidR="00A21C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CE0440" w:rsidRPr="00CE044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– </w:t>
      </w:r>
      <w:r w:rsidR="00CE0440" w:rsidRPr="004A282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8E1A68" w:rsidRDefault="001D0A12" w:rsidP="00175F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- </w:t>
      </w:r>
      <w:r w:rsidR="000705F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ЖОО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- </w:t>
      </w:r>
      <w:r w:rsidR="00CE0440" w:rsidRPr="004A282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</w:t>
      </w:r>
      <w:r w:rsidR="00CE044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0555D8" w:rsidRPr="005561C5" w:rsidRDefault="001D4546" w:rsidP="00175FB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Қалыптасу кезіндегі жұмыстың негізгі басымды бағыты қызметкерлерді кәсіподақ мүшелігіне тарту және үлкен аумақтарды кәсіподақ ықпалымен қамту болып табылады, осы мақсатта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lang w:val="kk-KZ" w:eastAsia="ru-RU"/>
        </w:rPr>
        <w:t xml:space="preserve">облыстағы білім саласының түрлі ұйымдарының еңбек ұжымдарында 100-ден астам кездесулер өткізілді. </w:t>
      </w:r>
    </w:p>
    <w:p w:rsidR="004A282E" w:rsidRPr="00B23A23" w:rsidRDefault="001D4546" w:rsidP="00175F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Кәсіподақтың мақсатты бағытталған ынталандыру жұмысының нәтижесінде, </w:t>
      </w:r>
      <w:r w:rsidR="00B23A2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кәсіподақ қызмет ететін ұйымдардағы жұмыс жасаушылардың жалпы саны 15000 адам жобасын құрады. </w:t>
      </w:r>
    </w:p>
    <w:p w:rsidR="003928E8" w:rsidRDefault="003928E8" w:rsidP="00175FB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 w:eastAsia="ru-RU"/>
        </w:rPr>
        <w:t>Облыстық кәсіподақ комитетінің есебіндегі бастауыш кәсіподақ ұйымдарында кәсіподақтың Салалық Кеңесімен дайындалған әдістемелік нұсқаулықтар мен макеттер негізінде әзірленген 109 ұжымдық шарт жасалған. Аталған бағыттағы жұмыс</w:t>
      </w:r>
      <w:r w:rsidR="00D221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 w:eastAsia="ru-RU"/>
        </w:rPr>
        <w:t xml:space="preserve"> бастауыш кәсіподақ ұйымдары санының көбеюіне орай жалғасады. </w:t>
      </w:r>
    </w:p>
    <w:p w:rsidR="00CD4AC4" w:rsidRDefault="00D221BA" w:rsidP="00175FB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 w:eastAsia="ru-RU"/>
        </w:rPr>
        <w:t>Облыстық кәсіподақ комитетінің қызметіндегі</w:t>
      </w:r>
      <w:r w:rsidR="00CD4A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 w:eastAsia="ru-RU"/>
        </w:rPr>
        <w:t xml:space="preserve"> басымды бағыттардың бірі әлеуметтік әріптестікті ұйымдастыру нысандары мен әдістерін жетілдіру жөніндегі жұмыс болып табылады. Бұл бағытта келісім тараптары мүдделерінің келісуінің неғұрлым тиімді нысандарын іздеу жүргізіледі. </w:t>
      </w:r>
    </w:p>
    <w:p w:rsidR="002A62C5" w:rsidRPr="00A21CD3" w:rsidRDefault="001F59F0" w:rsidP="00175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Есеп беру мерзімінде Келісімді орындау үшін кәсіподақ қызметкерлері </w:t>
      </w:r>
      <w:r w:rsidR="00697D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 органдарының қызметкерлерімен бірлесіп еңбек заңнамасы, жалақы, еңбек қатынастарын ресімдеу мәселелері бойынша кадрлық қызмет басшылары, қызметкерлері үшін көптеген кеңес берулер өткізді. </w:t>
      </w:r>
    </w:p>
    <w:p w:rsidR="000555D8" w:rsidRPr="00697D84" w:rsidRDefault="00697D84" w:rsidP="00175F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Сала қызметкерлерінің құқықты</w:t>
      </w:r>
      <w:r w:rsidR="002977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 сауаттылығын арттыру үшін кәсі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подақтың Салалық кеңесімен бірлесіп</w:t>
      </w:r>
      <w:r w:rsidR="002977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еңбек ұжымдарымен 7 оқыту семинары, 12 кездесу өткізілді </w:t>
      </w:r>
      <w:r w:rsidRPr="00697D84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(соның ішінде </w:t>
      </w:r>
      <w:r w:rsidR="00E26484" w:rsidRPr="00A21CD3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ZOOM</w:t>
      </w:r>
      <w:r w:rsidRPr="00697D84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 платфор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м</w:t>
      </w:r>
      <w:r w:rsidRPr="00697D84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асы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арқылы</w:t>
      </w:r>
      <w:r w:rsidR="00E26484" w:rsidRPr="00A21CD3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697D84" w:rsidRDefault="001D0A12" w:rsidP="00175FB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 w:eastAsia="ru-RU"/>
        </w:rPr>
      </w:pPr>
      <w:r w:rsidRPr="00A21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 w:eastAsia="ru-RU"/>
        </w:rPr>
        <w:t>Обл</w:t>
      </w:r>
      <w:r w:rsidR="00697D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 w:eastAsia="ru-RU"/>
        </w:rPr>
        <w:t xml:space="preserve">ыстық ұйым құқықтық мәселелер бойынша 142 арыз бен өтініштерді қарады, оның ішінде 120 әлеуметтік желілер арқылы түскен. </w:t>
      </w:r>
      <w:r w:rsidR="00697D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 w:eastAsia="ru-RU"/>
        </w:rPr>
        <w:lastRenderedPageBreak/>
        <w:t xml:space="preserve">Жазбаша өтініштер </w:t>
      </w:r>
      <w:r w:rsidR="003106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 w:eastAsia="ru-RU"/>
        </w:rPr>
        <w:t xml:space="preserve">Кәсіподақтың Атқару комитетімен бекітілген заңды және жеке тұлғалар өтініштерін қарау тәртібі туралы Нұсқаулықпен көзделген мерзімде орындалды. </w:t>
      </w:r>
    </w:p>
    <w:p w:rsidR="002977B8" w:rsidRDefault="003106B3" w:rsidP="00175FB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>Шаралар қабылдау үшін жіберілген өтініштер: құқық қорғау</w:t>
      </w:r>
      <w:r w:rsidR="001A4798" w:rsidRPr="0097274B"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 xml:space="preserve"> орган</w:t>
      </w:r>
      <w:r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>дар</w:t>
      </w:r>
      <w:r w:rsidR="001A4798" w:rsidRPr="0097274B"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>ы</w:t>
      </w:r>
      <w:r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>на</w:t>
      </w:r>
      <w:r w:rsidR="001A4798" w:rsidRPr="0097274B"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 xml:space="preserve"> - 2; Т</w:t>
      </w:r>
      <w:r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>үр</w:t>
      </w:r>
      <w:r w:rsidR="001A4798" w:rsidRPr="0097274B"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>к</w:t>
      </w:r>
      <w:r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>і</w:t>
      </w:r>
      <w:r w:rsidR="001A4798" w:rsidRPr="0097274B"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>стан обл</w:t>
      </w:r>
      <w:r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 xml:space="preserve">ысының </w:t>
      </w:r>
      <w:r w:rsidR="002977B8"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 xml:space="preserve">ңбек инспекциясы </w:t>
      </w:r>
      <w:r w:rsidR="002977B8"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>б</w:t>
      </w:r>
      <w:r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>асқармасына</w:t>
      </w:r>
      <w:r w:rsidR="001A4798" w:rsidRPr="0097274B"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 xml:space="preserve"> – 3;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Түркістан облысы адами әлеуетті дамыту басқармасы</w:t>
      </w:r>
      <w:r w:rsidR="008D68DB"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 xml:space="preserve">на </w:t>
      </w:r>
      <w:r w:rsidR="001A4798" w:rsidRPr="0097274B"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 xml:space="preserve">– 2; </w:t>
      </w:r>
      <w:r w:rsidR="008D68DB"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 xml:space="preserve">Түркістан облысы ішкі аудиторлық тексеру </w:t>
      </w:r>
      <w:r w:rsidR="001A4798" w:rsidRPr="0097274B"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>Департамент</w:t>
      </w:r>
      <w:r w:rsidR="008D68DB"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>іне</w:t>
      </w:r>
      <w:r w:rsidR="001A4798" w:rsidRPr="0097274B"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>–</w:t>
      </w:r>
      <w:r w:rsidR="001D0A12"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 xml:space="preserve"> 1.</w:t>
      </w:r>
      <w:r w:rsidR="002977B8"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 xml:space="preserve"> </w:t>
      </w:r>
    </w:p>
    <w:p w:rsidR="00BF7440" w:rsidRDefault="00D7612D" w:rsidP="00175FB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>Заңсыз жұмыстан шығару</w:t>
      </w:r>
      <w:r w:rsidR="002977B8"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>дың</w:t>
      </w:r>
      <w:r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 xml:space="preserve"> 2 жағдайына жол берілмеді;</w:t>
      </w:r>
      <w:r w:rsidR="002977B8"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 xml:space="preserve">адами әлеуетті дамыту бөлімінің келісу комиссиясының қарауында 1 өтініш бар. </w:t>
      </w:r>
    </w:p>
    <w:p w:rsidR="006550A4" w:rsidRDefault="00C1539C" w:rsidP="00175FB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>Білім беру ұйымдарының педагогикалық және медициналық қызметкерлеріне отын және коммуналдық қызмет</w:t>
      </w:r>
      <w:r w:rsidR="00105E76"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>і</w:t>
      </w:r>
      <w:r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 xml:space="preserve"> шығындарына өтемақыны жергілікті атқарушы органдардың тағайындауы жөнінде кәсіподақ ұйымдарының бірнеше мәрте талаптары нәтижесінде Кентау ауданы бойынша 3 АЕК мөлшерінде, 2022 жылдан бастап – 5 АЕК мөлшерінде аталған өтемақы төлеу туралы келісімге қол жеткізілді. </w:t>
      </w:r>
    </w:p>
    <w:p w:rsidR="00ED45A8" w:rsidRDefault="00ED45A8" w:rsidP="00175FB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>Сауран ауданы бойынша аталған бағытта жұмыс жүргізілуде.</w:t>
      </w:r>
    </w:p>
    <w:p w:rsidR="003D734A" w:rsidRPr="00D225F5" w:rsidRDefault="00C1539C" w:rsidP="00175FB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</w:pPr>
      <w:r w:rsidRPr="00C1539C">
        <w:rPr>
          <w:rFonts w:ascii="Times New Roman" w:eastAsia="Times New Roman" w:hAnsi="Times New Roman" w:cs="Times New Roman"/>
          <w:bCs/>
          <w:spacing w:val="-11"/>
          <w:sz w:val="28"/>
          <w:szCs w:val="28"/>
          <w:lang w:val="kk-KZ" w:eastAsia="ru-RU"/>
        </w:rPr>
        <w:t xml:space="preserve">Облыстың </w:t>
      </w:r>
      <w:r>
        <w:rPr>
          <w:rFonts w:ascii="Times New Roman" w:eastAsia="Times New Roman" w:hAnsi="Times New Roman" w:cs="Times New Roman"/>
          <w:bCs/>
          <w:spacing w:val="-11"/>
          <w:sz w:val="28"/>
          <w:szCs w:val="28"/>
          <w:lang w:val="kk-KZ" w:eastAsia="ru-RU"/>
        </w:rPr>
        <w:t xml:space="preserve">кәсіподақ ұйымдары Келісімге және ұжымдық шарттарға сәйкес кәсіподақ мүшелерін сауықтыру және демалту мәселесіне тұрақты назар аударады. </w:t>
      </w:r>
    </w:p>
    <w:p w:rsidR="00C1539C" w:rsidRDefault="003D734A" w:rsidP="00175FB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</w:pPr>
      <w:r w:rsidRPr="00D225F5"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>2021</w:t>
      </w:r>
      <w:r w:rsidR="00C1539C"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 xml:space="preserve"> жылы </w:t>
      </w:r>
      <w:r w:rsidR="0090660B"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 xml:space="preserve">187 кәсіподақ мүшесі облыстың және республиканың сауықтыру шипажайларына жіберілді. </w:t>
      </w:r>
    </w:p>
    <w:p w:rsidR="006D352F" w:rsidRDefault="006D352F" w:rsidP="00175FB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  <w:lang w:val="kk-KZ" w:eastAsia="ru-RU"/>
        </w:rPr>
        <w:t xml:space="preserve">Кәсіподақ мүшелері үшін дене шынықтыру-сауықтыру шараларына үнемі көңіл бөлінеді. Салауатты өмір салтын насихаттау мақсатында облыстық, сондай-ақ республикалық деңгейлерде спартакиадалар жүргізіліп, білім беру ұйымдарында қызметкерлер арасында достық қатынасты нығайтуға және дамытуға септігін тигізеді.   </w:t>
      </w:r>
    </w:p>
    <w:sectPr w:rsidR="006D352F" w:rsidSect="0054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F64ED"/>
    <w:multiLevelType w:val="hybridMultilevel"/>
    <w:tmpl w:val="27C6335A"/>
    <w:lvl w:ilvl="0" w:tplc="54500CA4">
      <w:start w:val="1"/>
      <w:numFmt w:val="bullet"/>
      <w:lvlText w:val="−"/>
      <w:lvlJc w:val="left"/>
      <w:pPr>
        <w:ind w:left="502" w:hanging="360"/>
      </w:pPr>
      <w:rPr>
        <w:rFonts w:ascii="Arial" w:hAnsi="Arial"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D5CA0"/>
    <w:rsid w:val="00006E9B"/>
    <w:rsid w:val="000555D8"/>
    <w:rsid w:val="000705FF"/>
    <w:rsid w:val="000F5575"/>
    <w:rsid w:val="00105E76"/>
    <w:rsid w:val="00175FB1"/>
    <w:rsid w:val="001A4798"/>
    <w:rsid w:val="001A4E84"/>
    <w:rsid w:val="001A5334"/>
    <w:rsid w:val="001D0A12"/>
    <w:rsid w:val="001D4546"/>
    <w:rsid w:val="001F59F0"/>
    <w:rsid w:val="00231DD9"/>
    <w:rsid w:val="00232192"/>
    <w:rsid w:val="002977B8"/>
    <w:rsid w:val="002A62C5"/>
    <w:rsid w:val="002B648A"/>
    <w:rsid w:val="002F769E"/>
    <w:rsid w:val="003044B3"/>
    <w:rsid w:val="003106B3"/>
    <w:rsid w:val="003110E2"/>
    <w:rsid w:val="00330C25"/>
    <w:rsid w:val="00351860"/>
    <w:rsid w:val="00354440"/>
    <w:rsid w:val="003903DC"/>
    <w:rsid w:val="003928E8"/>
    <w:rsid w:val="003B7374"/>
    <w:rsid w:val="003D734A"/>
    <w:rsid w:val="00486D7B"/>
    <w:rsid w:val="004A282E"/>
    <w:rsid w:val="004D5CA0"/>
    <w:rsid w:val="004F03A1"/>
    <w:rsid w:val="004F2D68"/>
    <w:rsid w:val="005417AD"/>
    <w:rsid w:val="00543B58"/>
    <w:rsid w:val="005561C5"/>
    <w:rsid w:val="0057248C"/>
    <w:rsid w:val="005873BE"/>
    <w:rsid w:val="005A54E5"/>
    <w:rsid w:val="005D5F5C"/>
    <w:rsid w:val="005E2850"/>
    <w:rsid w:val="005F1252"/>
    <w:rsid w:val="005F7FF7"/>
    <w:rsid w:val="00612748"/>
    <w:rsid w:val="006550A4"/>
    <w:rsid w:val="00697D84"/>
    <w:rsid w:val="006D352F"/>
    <w:rsid w:val="006F2CD6"/>
    <w:rsid w:val="00702218"/>
    <w:rsid w:val="007078E7"/>
    <w:rsid w:val="007157BB"/>
    <w:rsid w:val="007440E8"/>
    <w:rsid w:val="007B630E"/>
    <w:rsid w:val="007C05AA"/>
    <w:rsid w:val="007C1223"/>
    <w:rsid w:val="008061E4"/>
    <w:rsid w:val="008D68DB"/>
    <w:rsid w:val="008E1A68"/>
    <w:rsid w:val="0090660B"/>
    <w:rsid w:val="00917955"/>
    <w:rsid w:val="0097274B"/>
    <w:rsid w:val="009C2AAB"/>
    <w:rsid w:val="009F12A4"/>
    <w:rsid w:val="00A21CD3"/>
    <w:rsid w:val="00A75D4B"/>
    <w:rsid w:val="00B23A23"/>
    <w:rsid w:val="00B64F88"/>
    <w:rsid w:val="00BE1A2E"/>
    <w:rsid w:val="00BF7440"/>
    <w:rsid w:val="00C1539C"/>
    <w:rsid w:val="00C45110"/>
    <w:rsid w:val="00CD4AC4"/>
    <w:rsid w:val="00CE0440"/>
    <w:rsid w:val="00D01FA3"/>
    <w:rsid w:val="00D221BA"/>
    <w:rsid w:val="00D225F5"/>
    <w:rsid w:val="00D31974"/>
    <w:rsid w:val="00D7612D"/>
    <w:rsid w:val="00DA1078"/>
    <w:rsid w:val="00DB0529"/>
    <w:rsid w:val="00DE4B1E"/>
    <w:rsid w:val="00E26484"/>
    <w:rsid w:val="00E61E6E"/>
    <w:rsid w:val="00ED45A8"/>
    <w:rsid w:val="00EE56CC"/>
    <w:rsid w:val="00F56DDB"/>
    <w:rsid w:val="00F87B30"/>
    <w:rsid w:val="00FC1B7C"/>
    <w:rsid w:val="00FF5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46</cp:revision>
  <dcterms:created xsi:type="dcterms:W3CDTF">2021-11-29T10:55:00Z</dcterms:created>
  <dcterms:modified xsi:type="dcterms:W3CDTF">2021-12-20T03:57:00Z</dcterms:modified>
</cp:coreProperties>
</file>